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26.3.2024 tiistai</w:t>
      </w:r>
    </w:p>
    <w:p>
      <w:pPr>
        <w:pStyle w:val="Heading1"/>
      </w:pPr>
      <w:r>
        <w:t>26.3.2024-18.6.2024</w:t>
      </w:r>
    </w:p>
    <w:p>
      <w:pPr>
        <w:pStyle w:val="Heading2"/>
      </w:pPr>
      <w:r>
        <w:t>10:00-11:30 Perhekahvila</w:t>
      </w:r>
    </w:p>
    <w:p>
      <w:r>
        <w:t>Perhekahvilassa voit nauttia rennosta yhdessäolosta muiden samassa elämäntilanteessa olevien vanhempien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