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10.6.2024-19.6.2024</w:t>
      </w:r>
    </w:p>
    <w:p>
      <w:pPr>
        <w:pStyle w:val="Heading1"/>
      </w:pPr>
      <w:r>
        <w:t>10.6.2024-19.6.2024</w:t>
      </w:r>
    </w:p>
    <w:p>
      <w:pPr>
        <w:pStyle w:val="Heading2"/>
      </w:pPr>
      <w:r>
        <w:t>15:00-20:00 Näyttely hulevesistä, typpikuormasta ja kaupunkiviljelystä</w:t>
      </w:r>
    </w:p>
    <w:p>
      <w:r>
        <w:t>Näyttely hulevesistä, typpikuormasta ja kaupunkiviljelystä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