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20.11.2024 keskiviikko</w:t>
      </w:r>
    </w:p>
    <w:p>
      <w:pPr>
        <w:pStyle w:val="Heading1"/>
      </w:pPr>
      <w:r>
        <w:t>20.11.2024 keskiviikko</w:t>
      </w:r>
    </w:p>
    <w:p>
      <w:pPr>
        <w:pStyle w:val="Heading2"/>
      </w:pPr>
      <w:r>
        <w:t>17:00-18:00 Kiinteistön kaupan virheet; sisäilmaongelmat ja homevauriot</w:t>
      </w:r>
    </w:p>
    <w:p>
      <w:r>
        <w:t>Kiinteistön kaupan virheet; sisäilmaongelmat ja homevauriot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