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12.6.2025 torstai</w:t>
      </w:r>
    </w:p>
    <w:p>
      <w:pPr>
        <w:pStyle w:val="Heading1"/>
      </w:pPr>
      <w:r>
        <w:t>12.6.2025 torstai</w:t>
      </w:r>
    </w:p>
    <w:p>
      <w:pPr>
        <w:pStyle w:val="Heading2"/>
      </w:pPr>
      <w:r>
        <w:t>16:30-18:00 Sateenkaareva askartelupaja</w:t>
      </w:r>
    </w:p>
    <w:p>
      <w:r>
        <w:t>Kaikki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