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28.10.2025-2.12.2025</w:t>
      </w:r>
    </w:p>
    <w:p>
      <w:pPr>
        <w:pStyle w:val="Heading1"/>
      </w:pPr>
      <w:r>
        <w:t>28.10.2025-2.12.2025</w:t>
      </w:r>
    </w:p>
    <w:p>
      <w:pPr>
        <w:pStyle w:val="Heading2"/>
      </w:pPr>
      <w:r>
        <w:t>11:00-15:00 Taidepaja</w:t>
      </w:r>
    </w:p>
    <w:p>
      <w:r>
        <w:t>Taidepaja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