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23.4.2026 torstai</w:t>
      </w:r>
    </w:p>
    <w:p>
      <w:pPr>
        <w:pStyle w:val="Heading1"/>
      </w:pPr>
      <w:r>
        <w:t>23.4.2026 torstai</w:t>
      </w:r>
    </w:p>
    <w:p>
      <w:pPr>
        <w:pStyle w:val="Heading2"/>
      </w:pPr>
      <w:r>
        <w:t>15:00-17:00 Heroclix lautapeli</w:t>
      </w:r>
    </w:p>
    <w:p>
      <w:r>
        <w:t>Heroclix lautapelin opastusta ja pelaamista.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