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29.1.2026-21.5.2026</w:t>
      </w:r>
    </w:p>
    <w:p>
      <w:pPr>
        <w:pStyle w:val="Heading1"/>
      </w:pPr>
      <w:r>
        <w:t>29.1.2026-21.5.2026</w:t>
      </w:r>
    </w:p>
    <w:p>
      <w:pPr>
        <w:pStyle w:val="Heading2"/>
      </w:pPr>
      <w:r>
        <w:t>18:00-19:00 Lukukoira Tyyne</w:t>
      </w:r>
    </w:p>
    <w:p>
      <w:r>
        <w:t>Lukukoira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