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22.3.2026 sunnuntai</w:t>
      </w:r>
    </w:p>
    <w:p>
      <w:pPr>
        <w:pStyle w:val="Heading1"/>
      </w:pPr>
      <w:r>
        <w:t>22.3.2026 sunnuntai</w:t>
      </w:r>
    </w:p>
    <w:p>
      <w:pPr>
        <w:pStyle w:val="Heading2"/>
      </w:pPr>
      <w:r>
        <w:t>15:00-17:30 Nowrus-juhla</w:t>
      </w:r>
    </w:p>
    <w:p>
      <w:r>
        <w:t>Tule juhlimaan persialaista uutta vuotta Nowrus-juhlaan!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