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9.6.2026-25.8.2026</w:t>
      </w:r>
    </w:p>
    <w:p>
      <w:pPr>
        <w:pStyle w:val="Heading1"/>
      </w:pPr>
      <w:r>
        <w:t>9.6.2026-25.8.2026</w:t>
      </w:r>
    </w:p>
    <w:p>
      <w:pPr>
        <w:pStyle w:val="Heading2"/>
      </w:pPr>
      <w:r>
        <w:t>17:30-18:00 Arabiankielinen satuhetki</w:t>
      </w:r>
    </w:p>
    <w:p>
      <w:r>
        <w:t>Arabiankielinen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