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29.9.2025 maanantai</w:t>
      </w:r>
    </w:p>
    <w:p>
      <w:pPr>
        <w:pStyle w:val="Heading1"/>
      </w:pPr>
      <w:r>
        <w:t>29.9.2025-30.9.2025</w:t>
      </w:r>
    </w:p>
    <w:p>
      <w:pPr>
        <w:pStyle w:val="Heading2"/>
      </w:pPr>
      <w:r>
        <w:t>08:00-18:00 TLDG - 172 - Julkaisuajankohdan määrittäminen ja automaatiot</w:t>
      </w:r>
    </w:p>
    <w:p>
      <w:r>
        <w:t>Julkaisuajankohdan määrittäminen ja automaatiot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