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29.11.2025-30.11.2025</w:t>
      </w:r>
    </w:p>
    <w:p>
      <w:pPr>
        <w:pStyle w:val="Heading1"/>
      </w:pPr>
      <w:r>
        <w:t>29.11.2025-30.11.2025</w:t>
      </w:r>
    </w:p>
    <w:p>
      <w:pPr>
        <w:pStyle w:val="Heading2"/>
      </w:pPr>
      <w:r>
        <w:t>11:00-00:00 Kumppanieläin-työpaja &amp; Death Cafe – Kun aika on -näyttelyn oheisohjelmaa</w:t>
      </w:r>
    </w:p>
    <w:p>
      <w:r>
        <w:t>Kun on aika päästää irti rakkaasta lemmikistä, muistojen vaaliminen auttaa surussa.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